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1DD5CCCB"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Pr>
          <w:rFonts w:asciiTheme="minorHAnsi" w:hAnsiTheme="minorHAnsi"/>
          <w:b/>
          <w:bCs/>
          <w:sz w:val="22"/>
          <w:szCs w:val="22"/>
        </w:rPr>
        <w:t>RTG přístroj stacionární</w:t>
      </w:r>
      <w:r w:rsidR="000F5E4C">
        <w:rPr>
          <w:rFonts w:asciiTheme="minorHAnsi" w:hAnsiTheme="minorHAnsi"/>
          <w:b/>
          <w:bCs/>
          <w:sz w:val="22"/>
          <w:szCs w:val="22"/>
        </w:rPr>
        <w:t xml:space="preserve"> pro Chrudimskou nemocnici</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777777" w:rsidR="000912C4" w:rsidRPr="00F900CD" w:rsidRDefault="000912C4" w:rsidP="000912C4">
      <w:pPr>
        <w:widowControl w:val="0"/>
        <w:numPr>
          <w:ilvl w:val="0"/>
          <w:numId w:val="16"/>
        </w:numPr>
        <w:tabs>
          <w:tab w:val="left" w:pos="426"/>
        </w:tabs>
        <w:suppressAutoHyphens/>
        <w:spacing w:after="60"/>
        <w:ind w:left="72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31373927"/>
      <w:bookmarkStart w:id="1" w:name="_Hlk26518093"/>
      <w:r>
        <w:rPr>
          <w:rFonts w:ascii="Calibri" w:eastAsia="SimSun" w:hAnsi="Calibri" w:cs="Calibri"/>
          <w:i/>
          <w:iCs/>
          <w:kern w:val="1"/>
          <w:sz w:val="22"/>
          <w:szCs w:val="22"/>
          <w:lang w:eastAsia="hi-IN" w:bidi="hi-IN"/>
        </w:rPr>
        <w:t>Zobrazovací techniky RDG přístroje</w:t>
      </w:r>
      <w:bookmarkEnd w:id="0"/>
      <w:r w:rsidRPr="00F900CD">
        <w:rPr>
          <w:rFonts w:ascii="Calibri" w:eastAsia="SimSun" w:hAnsi="Calibri" w:cs="Calibri"/>
          <w:i/>
          <w:iCs/>
          <w:kern w:val="1"/>
          <w:sz w:val="22"/>
          <w:szCs w:val="22"/>
          <w:lang w:eastAsia="hi-IN" w:bidi="hi-IN"/>
        </w:rPr>
        <w:t>“ (</w:t>
      </w:r>
      <w:proofErr w:type="spellStart"/>
      <w:r w:rsidRPr="00F900CD">
        <w:rPr>
          <w:rFonts w:ascii="Calibri" w:eastAsia="SimSun" w:hAnsi="Calibri" w:cs="Calibri"/>
          <w:i/>
          <w:iCs/>
          <w:kern w:val="1"/>
          <w:sz w:val="22"/>
          <w:szCs w:val="22"/>
          <w:lang w:eastAsia="hi-IN" w:bidi="hi-IN"/>
        </w:rPr>
        <w:t>reg</w:t>
      </w:r>
      <w:proofErr w:type="spellEnd"/>
      <w:r w:rsidRPr="00F900CD">
        <w:rPr>
          <w:rFonts w:ascii="Calibri" w:eastAsia="SimSun" w:hAnsi="Calibri" w:cs="Calibri"/>
          <w:i/>
          <w:iCs/>
          <w:kern w:val="1"/>
          <w:sz w:val="22"/>
          <w:szCs w:val="22"/>
          <w:lang w:eastAsia="hi-IN" w:bidi="hi-IN"/>
        </w:rPr>
        <w:t>. č.  CZ.06.2.56/0.0/0.0/16_043/000154</w:t>
      </w:r>
      <w:r w:rsidRPr="007C740C">
        <w:rPr>
          <w:rFonts w:ascii="Calibri" w:eastAsia="SimSun" w:hAnsi="Calibri" w:cs="Calibri"/>
          <w:i/>
          <w:iCs/>
          <w:kern w:val="1"/>
          <w:sz w:val="22"/>
          <w:szCs w:val="22"/>
          <w:lang w:eastAsia="hi-IN" w:bidi="hi-IN"/>
        </w:rPr>
        <w:t>2</w:t>
      </w:r>
      <w:r w:rsidRPr="00F900CD">
        <w:rPr>
          <w:rFonts w:ascii="Calibri" w:eastAsia="SimSun" w:hAnsi="Calibri" w:cs="Calibri"/>
          <w:i/>
          <w:iCs/>
          <w:kern w:val="1"/>
          <w:sz w:val="22"/>
          <w:szCs w:val="22"/>
          <w:lang w:eastAsia="hi-IN" w:bidi="hi-IN"/>
        </w:rPr>
        <w:t xml:space="preserve">) </w:t>
      </w:r>
      <w:bookmarkEnd w:id="1"/>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05E93D83" w14:textId="4B239067"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r w:rsidRPr="005605F1">
        <w:rPr>
          <w:rFonts w:ascii="Calibri" w:eastAsia="SimSun" w:hAnsi="Calibri" w:cs="Calibri"/>
          <w:b/>
          <w:bCs/>
          <w:kern w:val="1"/>
          <w:sz w:val="22"/>
          <w:szCs w:val="22"/>
          <w:lang w:eastAsia="hi-IN" w:bidi="hi-IN"/>
        </w:rPr>
        <w:t>1 ks</w:t>
      </w:r>
      <w:r w:rsidRPr="005605F1">
        <w:rPr>
          <w:rFonts w:ascii="Calibri" w:eastAsia="SimSun" w:hAnsi="Calibri" w:cs="Calibri"/>
          <w:kern w:val="1"/>
          <w:sz w:val="22"/>
          <w:szCs w:val="22"/>
          <w:lang w:eastAsia="hi-IN" w:bidi="hi-IN"/>
        </w:rPr>
        <w:t xml:space="preserve"> </w:t>
      </w:r>
      <w:r w:rsidRPr="005605F1">
        <w:rPr>
          <w:rFonts w:ascii="Calibri" w:eastAsia="SimSun" w:hAnsi="Calibri" w:cs="Calibri"/>
          <w:b/>
          <w:bCs/>
          <w:kern w:val="1"/>
          <w:sz w:val="22"/>
          <w:szCs w:val="22"/>
          <w:lang w:eastAsia="hi-IN" w:bidi="hi-IN"/>
        </w:rPr>
        <w:t>RTG přístroj stacionární</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1298B267" w14:textId="4FD94137" w:rsidR="000652CA" w:rsidRPr="00CB257E" w:rsidRDefault="00F465D2" w:rsidP="00CB257E">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dodávka komponentů a provedení prací požadovaných kupujícím k instalaci zboží v místě určeném kupujícím (podrobný popis je obsažen v příloze č. 2 této smlouvy)  </w:t>
      </w:r>
    </w:p>
    <w:p w14:paraId="0DC80F48" w14:textId="295D87A0" w:rsidR="00996B5D" w:rsidRDefault="004C4A84" w:rsidP="00CB257E">
      <w:pPr>
        <w:pStyle w:val="Odstavecseseznamem"/>
        <w:widowControl w:val="0"/>
        <w:numPr>
          <w:ilvl w:val="0"/>
          <w:numId w:val="36"/>
        </w:numPr>
        <w:tabs>
          <w:tab w:val="left" w:pos="1134"/>
        </w:tabs>
        <w:suppressAutoHyphens/>
        <w:spacing w:before="60"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w:t>
      </w:r>
      <w:r w:rsidR="00F465D2">
        <w:rPr>
          <w:rFonts w:ascii="Calibri" w:eastAsia="SimSun" w:hAnsi="Calibri" w:cs="Calibri"/>
          <w:kern w:val="1"/>
          <w:sz w:val="22"/>
          <w:szCs w:val="22"/>
          <w:lang w:eastAsia="hi-IN" w:bidi="hi-IN"/>
        </w:rPr>
        <w:t>RTG přístroje</w:t>
      </w:r>
      <w:r>
        <w:rPr>
          <w:rFonts w:ascii="Calibri" w:eastAsia="SimSun" w:hAnsi="Calibri" w:cs="Calibri"/>
          <w:kern w:val="1"/>
          <w:sz w:val="22"/>
          <w:szCs w:val="22"/>
          <w:lang w:eastAsia="hi-IN" w:bidi="hi-IN"/>
        </w:rPr>
        <w:t xml:space="preserv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6FAA33F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836966">
        <w:rPr>
          <w:rFonts w:ascii="Calibri" w:eastAsia="SimSun" w:hAnsi="Calibri" w:cs="Calibri"/>
          <w:kern w:val="1"/>
          <w:sz w:val="22"/>
          <w:szCs w:val="22"/>
          <w:lang w:eastAsia="hi-IN" w:bidi="hi-IN"/>
        </w:rPr>
        <w:lastRenderedPageBreak/>
        <w:t>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00FAB22E" w14:textId="5E4D36F1" w:rsidR="004F381C" w:rsidRPr="005605F1" w:rsidRDefault="006A36A9" w:rsidP="005605F1">
      <w:pPr>
        <w:pStyle w:val="Odstavecseseznamem"/>
        <w:widowControl w:val="0"/>
        <w:numPr>
          <w:ilvl w:val="0"/>
          <w:numId w:val="33"/>
        </w:numPr>
        <w:tabs>
          <w:tab w:val="left" w:pos="426"/>
        </w:tabs>
        <w:suppressAutoHyphens/>
        <w:spacing w:after="60"/>
        <w:ind w:left="720" w:hanging="283"/>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je povinen dodat kupujícímu zboží do místa plnění, kterým je </w:t>
      </w:r>
      <w:r w:rsidR="007D4423" w:rsidRPr="005605F1">
        <w:rPr>
          <w:rFonts w:ascii="Calibri" w:eastAsia="SimSun" w:hAnsi="Calibri" w:cs="Calibri"/>
          <w:kern w:val="1"/>
          <w:sz w:val="22"/>
          <w:szCs w:val="22"/>
          <w:lang w:eastAsia="hi-IN" w:bidi="hi-IN"/>
        </w:rPr>
        <w:t>pracoviště zadavatele</w:t>
      </w:r>
      <w:r w:rsidR="00020322" w:rsidRPr="005605F1">
        <w:rPr>
          <w:rFonts w:ascii="Calibri" w:eastAsia="SimSun" w:hAnsi="Calibri" w:cs="Calibri"/>
          <w:kern w:val="1"/>
          <w:sz w:val="22"/>
          <w:szCs w:val="22"/>
          <w:lang w:eastAsia="hi-IN" w:bidi="hi-IN"/>
        </w:rPr>
        <w:t xml:space="preserve"> </w:t>
      </w:r>
      <w:r w:rsidR="004F381C" w:rsidRPr="005605F1">
        <w:rPr>
          <w:rFonts w:ascii="Calibri" w:eastAsia="SimSun" w:hAnsi="Calibri" w:cs="Calibri"/>
          <w:kern w:val="1"/>
          <w:sz w:val="22"/>
          <w:szCs w:val="22"/>
          <w:lang w:eastAsia="hi-IN" w:bidi="hi-IN"/>
        </w:rPr>
        <w:t>Chrudimská nemocnice, Václavská 570, 537 01 Chrudim</w:t>
      </w:r>
      <w:r w:rsidR="005605F1" w:rsidRPr="005605F1">
        <w:rPr>
          <w:rFonts w:ascii="Calibri" w:eastAsia="SimSun" w:hAnsi="Calibri" w:cs="Calibri"/>
          <w:i/>
          <w:iCs/>
          <w:kern w:val="1"/>
          <w:sz w:val="22"/>
          <w:szCs w:val="22"/>
          <w:lang w:eastAsia="hi-IN" w:bidi="hi-IN"/>
        </w:rPr>
        <w:t>.</w:t>
      </w:r>
    </w:p>
    <w:p w14:paraId="6CF87854" w14:textId="77777777"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605F1">
        <w:rPr>
          <w:rFonts w:ascii="Calibri" w:eastAsia="SimSun" w:hAnsi="Calibri" w:cs="Calibri"/>
          <w:kern w:val="1"/>
          <w:sz w:val="22"/>
          <w:szCs w:val="22"/>
          <w:lang w:eastAsia="hi-IN" w:bidi="hi-IN"/>
        </w:rPr>
        <w:t>Kupující</w:t>
      </w:r>
      <w:r w:rsidR="0053456F" w:rsidRPr="005605F1">
        <w:rPr>
          <w:rFonts w:ascii="Calibri" w:eastAsia="SimSun" w:hAnsi="Calibri" w:cs="Calibri"/>
          <w:kern w:val="1"/>
          <w:sz w:val="22"/>
          <w:szCs w:val="22"/>
          <w:lang w:eastAsia="hi-IN" w:bidi="hi-IN"/>
        </w:rPr>
        <w:t xml:space="preserve"> </w:t>
      </w:r>
      <w:r w:rsidRPr="005605F1">
        <w:rPr>
          <w:rFonts w:ascii="Calibri" w:eastAsia="SimSun" w:hAnsi="Calibri" w:cs="Calibri"/>
          <w:kern w:val="1"/>
          <w:sz w:val="22"/>
          <w:szCs w:val="22"/>
          <w:lang w:eastAsia="hi-IN" w:bidi="hi-IN"/>
        </w:rPr>
        <w:t xml:space="preserve">písemně </w:t>
      </w:r>
      <w:r w:rsidR="0053456F" w:rsidRPr="005605F1">
        <w:rPr>
          <w:rFonts w:ascii="Calibri" w:eastAsia="SimSun" w:hAnsi="Calibri" w:cs="Calibri"/>
          <w:kern w:val="1"/>
          <w:sz w:val="22"/>
          <w:szCs w:val="22"/>
          <w:lang w:eastAsia="hi-IN" w:bidi="hi-IN"/>
        </w:rPr>
        <w:t xml:space="preserve">vyzve </w:t>
      </w:r>
      <w:r w:rsidRPr="005605F1">
        <w:rPr>
          <w:rFonts w:ascii="Calibri" w:eastAsia="SimSun" w:hAnsi="Calibri" w:cs="Calibri"/>
          <w:kern w:val="1"/>
          <w:sz w:val="22"/>
          <w:szCs w:val="22"/>
          <w:lang w:eastAsia="hi-IN" w:bidi="hi-IN"/>
        </w:rPr>
        <w:t>prodávajícího k demontáži a ekologické</w:t>
      </w:r>
      <w:r w:rsidRPr="005C1A55">
        <w:rPr>
          <w:rFonts w:ascii="Calibri" w:eastAsia="SimSun" w:hAnsi="Calibri" w:cs="Calibri"/>
          <w:kern w:val="1"/>
          <w:sz w:val="22"/>
          <w:szCs w:val="22"/>
          <w:lang w:eastAsia="hi-IN" w:bidi="hi-IN"/>
        </w:rPr>
        <w:t xml:space="preserve"> likvidaci stávajícího zařízení min. 30 kalendářních dnů předem, přičemž max doba demontáže stávajícího zařízení je 2 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w:t>
      </w:r>
      <w:r w:rsidR="00B774C6" w:rsidRPr="005C1A55">
        <w:rPr>
          <w:rFonts w:ascii="Calibri" w:eastAsia="SimSun" w:hAnsi="Calibri" w:cs="Calibri"/>
          <w:kern w:val="1"/>
          <w:sz w:val="22"/>
          <w:szCs w:val="22"/>
          <w:lang w:eastAsia="hi-IN" w:bidi="hi-IN"/>
        </w:rPr>
        <w:lastRenderedPageBreak/>
        <w:t xml:space="preserve">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138761B1" w14:textId="3708A53A" w:rsidR="004C6AD5" w:rsidRDefault="0093122C" w:rsidP="004C6AD5">
      <w:pPr>
        <w:pStyle w:val="Bezmezer"/>
        <w:ind w:left="720"/>
        <w:jc w:val="both"/>
      </w:pPr>
      <w:r>
        <w:t xml:space="preserve">z ceny za pořízení přístrojového vybavení. Tato cena zahrnuje veškeré náklady související s plněním předmětu koupě </w:t>
      </w:r>
      <w:r w:rsidR="004C6AD5">
        <w:t xml:space="preserve">kromě ceny </w:t>
      </w:r>
      <w:r w:rsidR="004C6AD5">
        <w:rPr>
          <w:rFonts w:eastAsia="SimSun"/>
          <w:kern w:val="1"/>
          <w:lang w:eastAsia="hi-IN" w:bidi="hi-IN"/>
        </w:rPr>
        <w:t>komponentů a prací požadovaných kupujícím k instalaci zboží</w:t>
      </w:r>
      <w:r w:rsidR="004C6AD5">
        <w:t>:</w:t>
      </w:r>
    </w:p>
    <w:p w14:paraId="24F1922F" w14:textId="77777777" w:rsidR="0093122C" w:rsidRDefault="0093122C" w:rsidP="00CB257E">
      <w:pPr>
        <w:pStyle w:val="Bezmezer"/>
        <w:ind w:left="720"/>
        <w:jc w:val="both"/>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67728BB6" w14:textId="77777777" w:rsidR="004C6AD5" w:rsidRDefault="004C6AD5" w:rsidP="004C6AD5">
      <w:pPr>
        <w:ind w:left="135" w:firstLine="574"/>
        <w:jc w:val="both"/>
        <w:rPr>
          <w:rFonts w:cs="Calibri"/>
          <w:szCs w:val="22"/>
        </w:rPr>
      </w:pPr>
      <w:r>
        <w:rPr>
          <w:rFonts w:cs="Calibri"/>
          <w:szCs w:val="22"/>
        </w:rPr>
        <w:t>a</w:t>
      </w:r>
    </w:p>
    <w:p w14:paraId="3066AEEB" w14:textId="77777777" w:rsidR="004C6AD5" w:rsidRDefault="004C6AD5" w:rsidP="004C6AD5">
      <w:pPr>
        <w:ind w:left="135"/>
        <w:jc w:val="both"/>
        <w:rPr>
          <w:rFonts w:cs="Calibri"/>
          <w:szCs w:val="22"/>
        </w:rPr>
      </w:pPr>
    </w:p>
    <w:p w14:paraId="6E513320" w14:textId="77777777" w:rsidR="004C6AD5" w:rsidRPr="00913A1E" w:rsidRDefault="004C6AD5" w:rsidP="004C6AD5">
      <w:pPr>
        <w:pStyle w:val="Odstavecseseznamem"/>
        <w:jc w:val="both"/>
        <w:rPr>
          <w:rFonts w:asciiTheme="minorHAnsi" w:hAnsiTheme="minorHAnsi" w:cs="Calibri"/>
          <w:sz w:val="22"/>
          <w:szCs w:val="22"/>
        </w:rPr>
      </w:pPr>
      <w:r w:rsidRPr="00913A1E">
        <w:rPr>
          <w:rFonts w:asciiTheme="minorHAnsi" w:hAnsiTheme="minorHAnsi" w:cs="Calibri"/>
          <w:sz w:val="22"/>
          <w:szCs w:val="22"/>
        </w:rPr>
        <w:t xml:space="preserve">z ceny za </w:t>
      </w:r>
      <w:r w:rsidRPr="00913A1E">
        <w:rPr>
          <w:rFonts w:asciiTheme="minorHAnsi" w:eastAsia="SimSun" w:hAnsiTheme="minorHAnsi" w:cs="Calibri"/>
          <w:kern w:val="1"/>
          <w:sz w:val="22"/>
          <w:szCs w:val="22"/>
          <w:lang w:eastAsia="hi-IN" w:bidi="hi-IN"/>
        </w:rPr>
        <w:t xml:space="preserve">komponenty a práce </w:t>
      </w:r>
      <w:r w:rsidRPr="00913A1E">
        <w:rPr>
          <w:rFonts w:asciiTheme="minorHAnsi" w:eastAsia="SimSun" w:hAnsiTheme="minorHAnsi"/>
          <w:kern w:val="1"/>
          <w:sz w:val="22"/>
          <w:szCs w:val="22"/>
          <w:lang w:eastAsia="hi-IN" w:bidi="hi-IN"/>
        </w:rPr>
        <w:t xml:space="preserve">požadované kupujícím </w:t>
      </w:r>
      <w:r w:rsidRPr="00913A1E">
        <w:rPr>
          <w:rFonts w:asciiTheme="minorHAnsi" w:eastAsia="SimSun" w:hAnsiTheme="minorHAnsi" w:cs="Calibri"/>
          <w:kern w:val="1"/>
          <w:sz w:val="22"/>
          <w:szCs w:val="22"/>
          <w:lang w:eastAsia="hi-IN" w:bidi="hi-IN"/>
        </w:rPr>
        <w:t>k instalaci zboží</w:t>
      </w:r>
      <w:r w:rsidRPr="00913A1E">
        <w:rPr>
          <w:rFonts w:asciiTheme="minorHAnsi" w:hAnsiTheme="minorHAnsi" w:cs="Calibri"/>
          <w:sz w:val="22"/>
          <w:szCs w:val="22"/>
        </w:rPr>
        <w:t>:</w:t>
      </w:r>
    </w:p>
    <w:p w14:paraId="3C2356F3" w14:textId="77777777" w:rsidR="004C6AD5" w:rsidRDefault="004C6AD5" w:rsidP="004C6AD5">
      <w:pPr>
        <w:ind w:left="709"/>
        <w:jc w:val="both"/>
        <w:rPr>
          <w:rFonts w:ascii="Calibri" w:hAnsi="Calibri" w:cs="Calibri"/>
          <w:sz w:val="22"/>
          <w:szCs w:val="22"/>
        </w:rPr>
      </w:pPr>
    </w:p>
    <w:p w14:paraId="32CB79BA" w14:textId="77777777" w:rsidR="004C6AD5" w:rsidRDefault="004C6AD5" w:rsidP="004C6AD5">
      <w:pPr>
        <w:pStyle w:val="Bezmezer"/>
        <w:spacing w:line="276" w:lineRule="auto"/>
        <w:ind w:left="567" w:firstLine="142"/>
        <w:jc w:val="both"/>
        <w:rPr>
          <w:b/>
        </w:rPr>
      </w:pPr>
      <w:r>
        <w:t xml:space="preserve">Cena bez DPH </w:t>
      </w:r>
      <w:proofErr w:type="gramStart"/>
      <w:r>
        <w:t xml:space="preserve">činí:   </w:t>
      </w:r>
      <w:proofErr w:type="gramEnd"/>
      <w:r>
        <w:t xml:space="preserve">    </w:t>
      </w:r>
      <w:r>
        <w:tab/>
      </w:r>
      <w:r w:rsidRPr="007D4423">
        <w:rPr>
          <w:rFonts w:eastAsia="SimSun"/>
          <w:i/>
          <w:kern w:val="1"/>
          <w:highlight w:val="yellow"/>
          <w:lang w:eastAsia="hi-IN" w:bidi="hi-IN"/>
        </w:rPr>
        <w:t xml:space="preserve">doplní </w:t>
      </w:r>
      <w:r w:rsidRPr="00977058">
        <w:rPr>
          <w:rFonts w:eastAsia="SimSun"/>
          <w:i/>
          <w:kern w:val="1"/>
          <w:highlight w:val="yellow"/>
          <w:lang w:eastAsia="hi-IN" w:bidi="hi-IN"/>
        </w:rPr>
        <w:t xml:space="preserve">dodavatel </w:t>
      </w:r>
      <w:r>
        <w:t xml:space="preserve">Kč </w:t>
      </w:r>
    </w:p>
    <w:p w14:paraId="4309990E" w14:textId="77777777" w:rsidR="004C6AD5" w:rsidRPr="0093122C" w:rsidRDefault="004C6AD5" w:rsidP="004C6AD5">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88C7F4" w14:textId="5808F24B" w:rsidR="0093122C" w:rsidRPr="0093122C" w:rsidRDefault="0093122C"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6253CC4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2A5116">
        <w:rPr>
          <w:rFonts w:ascii="Calibri" w:eastAsia="SimSun" w:hAnsi="Calibri" w:cs="Calibri"/>
          <w:kern w:val="1"/>
          <w:sz w:val="22"/>
          <w:szCs w:val="22"/>
          <w:lang w:eastAsia="hi-IN" w:bidi="hi-IN"/>
        </w:rPr>
        <w:t>42</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lastRenderedPageBreak/>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96A235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C57EC">
        <w:rPr>
          <w:rFonts w:ascii="Calibri" w:eastAsia="SimSun" w:hAnsi="Calibri" w:cs="Calibri"/>
          <w:color w:val="000000" w:themeColor="text1"/>
          <w:kern w:val="1"/>
          <w:sz w:val="22"/>
          <w:szCs w:val="22"/>
          <w:lang w:eastAsia="hi-IN" w:bidi="hi-IN"/>
        </w:rPr>
        <w:t>12</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24</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2F410CA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 dny,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w:t>
      </w:r>
      <w:bookmarkStart w:id="2" w:name="_GoBack"/>
      <w:bookmarkEnd w:id="2"/>
      <w:r w:rsidRPr="007D4423">
        <w:rPr>
          <w:rFonts w:ascii="Calibri" w:eastAsia="SimSun" w:hAnsi="Calibri" w:cs="Calibri"/>
          <w:kern w:val="1"/>
          <w:sz w:val="22"/>
          <w:szCs w:val="22"/>
          <w:lang w:eastAsia="hi-IN" w:bidi="hi-IN"/>
        </w:rPr>
        <w:t>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4"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3361EC96" w14:textId="77777777" w:rsidR="000652C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25A12DAC"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2E7EF055" w14:textId="77777777" w:rsidR="000652CA" w:rsidRDefault="000652CA" w:rsidP="000652CA">
      <w:pPr>
        <w:rPr>
          <w:rFonts w:ascii="Calibri" w:hAnsi="Calibri" w:cs="Calibri"/>
          <w:b/>
          <w:bCs/>
        </w:rPr>
      </w:pPr>
      <w:r>
        <w:rPr>
          <w:rFonts w:ascii="Calibri" w:hAnsi="Calibri" w:cs="Calibri"/>
          <w:b/>
          <w:bCs/>
        </w:rPr>
        <w:t>Podrobná specifikace komponentů a prací nutných k instalaci zboží</w:t>
      </w: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3C415" w14:textId="77777777" w:rsidR="003065ED" w:rsidRDefault="003065ED" w:rsidP="009B0C36">
      <w:r>
        <w:separator/>
      </w:r>
    </w:p>
  </w:endnote>
  <w:endnote w:type="continuationSeparator" w:id="0">
    <w:p w14:paraId="15CAAC53" w14:textId="77777777" w:rsidR="003065ED" w:rsidRDefault="003065ED"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61C5B6E8"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0912C4">
          <w:rPr>
            <w:rFonts w:ascii="Calibri" w:hAnsi="Calibri" w:cs="Calibri"/>
            <w:i/>
            <w:iCs/>
            <w:sz w:val="20"/>
            <w:szCs w:val="20"/>
          </w:rPr>
          <w:t>RDG přístroje</w:t>
        </w:r>
        <w:r w:rsidRPr="000F2827">
          <w:rPr>
            <w:rFonts w:ascii="Calibri" w:hAnsi="Calibri" w:cs="Calibri"/>
            <w:i/>
            <w:iCs/>
            <w:sz w:val="20"/>
            <w:szCs w:val="20"/>
          </w:rPr>
          <w:t>“ (</w:t>
        </w:r>
        <w:proofErr w:type="spellStart"/>
        <w:r w:rsidRPr="000F2827">
          <w:rPr>
            <w:rFonts w:ascii="Calibri" w:hAnsi="Calibri" w:cs="Calibri"/>
            <w:i/>
            <w:iCs/>
            <w:sz w:val="20"/>
            <w:szCs w:val="20"/>
          </w:rPr>
          <w:t>reg</w:t>
        </w:r>
        <w:proofErr w:type="spellEnd"/>
        <w:r w:rsidRPr="000F2827">
          <w:rPr>
            <w:rFonts w:ascii="Calibri" w:hAnsi="Calibri" w:cs="Calibri"/>
            <w:i/>
            <w:iCs/>
            <w:sz w:val="20"/>
            <w:szCs w:val="20"/>
          </w:rPr>
          <w:t>.</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0912C4">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A6BCF" w14:textId="77777777" w:rsidR="003065ED" w:rsidRDefault="003065ED" w:rsidP="009B0C36">
      <w:r>
        <w:separator/>
      </w:r>
    </w:p>
  </w:footnote>
  <w:footnote w:type="continuationSeparator" w:id="0">
    <w:p w14:paraId="47F9D2BB" w14:textId="77777777" w:rsidR="003065ED" w:rsidRDefault="003065ED"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5116"/>
    <w:rsid w:val="002B6DB3"/>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91A51"/>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367E"/>
    <w:rsid w:val="00B071C9"/>
    <w:rsid w:val="00B10678"/>
    <w:rsid w:val="00B2509B"/>
    <w:rsid w:val="00B666DA"/>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A4679"/>
    <w:rsid w:val="00DC44E5"/>
    <w:rsid w:val="00DD4B70"/>
    <w:rsid w:val="00DE52E6"/>
    <w:rsid w:val="00E228EC"/>
    <w:rsid w:val="00E42968"/>
    <w:rsid w:val="00E6140A"/>
    <w:rsid w:val="00E66908"/>
    <w:rsid w:val="00E702F2"/>
    <w:rsid w:val="00E75BE0"/>
    <w:rsid w:val="00E762CB"/>
    <w:rsid w:val="00E91E0D"/>
    <w:rsid w:val="00E92E41"/>
    <w:rsid w:val="00E95569"/>
    <w:rsid w:val="00E96EC0"/>
    <w:rsid w:val="00EB723F"/>
    <w:rsid w:val="00EC006E"/>
    <w:rsid w:val="00EC57EC"/>
    <w:rsid w:val="00EC7723"/>
    <w:rsid w:val="00ED280F"/>
    <w:rsid w:val="00ED5FFF"/>
    <w:rsid w:val="00ED7BC3"/>
    <w:rsid w:val="00EE0BA2"/>
    <w:rsid w:val="00EE5324"/>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3955</Words>
  <Characters>23339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Borkovec Zdeněk (PKN-ZAK)</cp:lastModifiedBy>
  <cp:revision>10</cp:revision>
  <cp:lastPrinted>2018-10-01T07:59:00Z</cp:lastPrinted>
  <dcterms:created xsi:type="dcterms:W3CDTF">2020-02-11T08:57:00Z</dcterms:created>
  <dcterms:modified xsi:type="dcterms:W3CDTF">2020-02-27T09:32:00Z</dcterms:modified>
</cp:coreProperties>
</file>